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FBC"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College of Liberal Arts and Sciences</w:t>
      </w:r>
    </w:p>
    <w:p w14:paraId="68461978"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Undergraduate Educational Policy and Curriculum Committee</w:t>
      </w:r>
    </w:p>
    <w:p w14:paraId="644BF944" w14:textId="77777777" w:rsidR="00CC5462" w:rsidRPr="00CC25A6" w:rsidRDefault="00CC5462" w:rsidP="00CC5462">
      <w:pPr>
        <w:ind w:right="180"/>
        <w:contextualSpacing/>
        <w:jc w:val="center"/>
        <w:rPr>
          <w:rFonts w:ascii="Aptos" w:hAnsi="Aptos" w:cs="Times New Roman"/>
          <w:iCs/>
        </w:rPr>
      </w:pPr>
    </w:p>
    <w:p w14:paraId="51A69C64" w14:textId="77777777" w:rsidR="00CC5462" w:rsidRPr="00CC25A6" w:rsidRDefault="00CC5462" w:rsidP="00CC5462">
      <w:pPr>
        <w:ind w:right="180"/>
        <w:contextualSpacing/>
        <w:jc w:val="center"/>
        <w:rPr>
          <w:rFonts w:ascii="Aptos" w:hAnsi="Aptos" w:cs="Times New Roman"/>
          <w:b/>
        </w:rPr>
      </w:pPr>
      <w:r w:rsidRPr="00CC25A6">
        <w:rPr>
          <w:rFonts w:ascii="Aptos" w:hAnsi="Aptos" w:cs="Times New Roman"/>
          <w:b/>
        </w:rPr>
        <w:t>Minutes</w:t>
      </w:r>
    </w:p>
    <w:p w14:paraId="7FCA7760"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240 SH</w:t>
      </w:r>
    </w:p>
    <w:p w14:paraId="15528FEB" w14:textId="6490BEE7" w:rsidR="00CC5462" w:rsidRPr="00CC25A6" w:rsidRDefault="00C02460" w:rsidP="00CC5462">
      <w:pPr>
        <w:ind w:right="180"/>
        <w:contextualSpacing/>
        <w:jc w:val="center"/>
        <w:rPr>
          <w:rFonts w:ascii="Aptos" w:hAnsi="Aptos" w:cs="Times New Roman"/>
          <w:iCs/>
        </w:rPr>
      </w:pPr>
      <w:r>
        <w:rPr>
          <w:rFonts w:ascii="Aptos" w:hAnsi="Aptos" w:cs="Times New Roman"/>
          <w:iCs/>
        </w:rPr>
        <w:t>February 26, 2026</w:t>
      </w:r>
      <w:r w:rsidR="00CC5462" w:rsidRPr="00CC25A6">
        <w:rPr>
          <w:rFonts w:ascii="Aptos" w:hAnsi="Aptos" w:cs="Times New Roman"/>
          <w:iCs/>
        </w:rPr>
        <w:br/>
      </w:r>
    </w:p>
    <w:p w14:paraId="1B67EF88" w14:textId="6DEDC5C4" w:rsidR="00CC5462" w:rsidRPr="00CC25A6" w:rsidRDefault="00CC5462" w:rsidP="00CC5462">
      <w:pPr>
        <w:contextualSpacing/>
        <w:rPr>
          <w:rFonts w:ascii="Aptos" w:hAnsi="Aptos" w:cs="Times New Roman"/>
        </w:rPr>
      </w:pPr>
      <w:r w:rsidRPr="00CC25A6">
        <w:rPr>
          <w:rFonts w:ascii="Aptos" w:hAnsi="Aptos" w:cs="Times New Roman"/>
          <w:i/>
          <w:iCs/>
        </w:rPr>
        <w:t>Attending</w:t>
      </w:r>
      <w:r w:rsidRPr="00CC25A6">
        <w:rPr>
          <w:rFonts w:ascii="Aptos" w:hAnsi="Aptos" w:cs="Times New Roman"/>
        </w:rPr>
        <w:t xml:space="preserve">: Cornelia Lang (chair), </w:t>
      </w:r>
      <w:r w:rsidR="00CC25A6" w:rsidRPr="00CC25A6">
        <w:rPr>
          <w:rFonts w:ascii="Aptos" w:hAnsi="Aptos" w:cs="Times New Roman"/>
        </w:rPr>
        <w:t>Gwen Archibald</w:t>
      </w:r>
      <w:r w:rsidR="00481FF6">
        <w:rPr>
          <w:rFonts w:ascii="Aptos" w:hAnsi="Aptos" w:cs="Times New Roman"/>
        </w:rPr>
        <w:t xml:space="preserve"> (staff)</w:t>
      </w:r>
      <w:r w:rsidR="00CC25A6" w:rsidRPr="00CC25A6">
        <w:rPr>
          <w:rFonts w:ascii="Aptos" w:hAnsi="Aptos" w:cs="Times New Roman"/>
        </w:rPr>
        <w:t xml:space="preserve">, </w:t>
      </w:r>
      <w:r w:rsidR="00875358" w:rsidRPr="00CC25A6">
        <w:rPr>
          <w:rFonts w:ascii="Aptos" w:hAnsi="Aptos"/>
        </w:rPr>
        <w:t>Ari Ariel</w:t>
      </w:r>
      <w:r w:rsidRPr="00CC25A6">
        <w:rPr>
          <w:rFonts w:ascii="Aptos" w:hAnsi="Aptos" w:cs="Times New Roman"/>
        </w:rPr>
        <w:t xml:space="preserve">, Megan Gogerty, </w:t>
      </w:r>
      <w:r w:rsidR="00D80385" w:rsidRPr="00D80385">
        <w:rPr>
          <w:rFonts w:ascii="Aptos" w:hAnsi="Aptos" w:cs="Times New Roman"/>
        </w:rPr>
        <w:t>Anushka Gupta</w:t>
      </w:r>
      <w:r w:rsidR="00D80385">
        <w:rPr>
          <w:rFonts w:ascii="Aptos" w:hAnsi="Aptos" w:cs="Times New Roman"/>
        </w:rPr>
        <w:t>,</w:t>
      </w:r>
      <w:r w:rsidR="00D80385" w:rsidRPr="00D80385">
        <w:rPr>
          <w:rFonts w:ascii="Aptos" w:hAnsi="Aptos" w:cs="Times New Roman"/>
        </w:rPr>
        <w:t xml:space="preserve"> </w:t>
      </w:r>
      <w:r w:rsidRPr="00CC25A6">
        <w:rPr>
          <w:rFonts w:ascii="Aptos" w:hAnsi="Aptos" w:cs="Times New Roman"/>
        </w:rPr>
        <w:t xml:space="preserve">Anita Jung, Liz Lundberg (staff), </w:t>
      </w:r>
      <w:r w:rsidR="00875358" w:rsidRPr="00CC25A6">
        <w:rPr>
          <w:rFonts w:ascii="Aptos" w:hAnsi="Aptos" w:cs="Times New Roman"/>
        </w:rPr>
        <w:t xml:space="preserve">Rene Rocha, </w:t>
      </w:r>
      <w:r w:rsidR="00D80385" w:rsidRPr="00D80385">
        <w:rPr>
          <w:rFonts w:ascii="Aptos" w:hAnsi="Aptos" w:cs="Times New Roman"/>
        </w:rPr>
        <w:t>Kate Tierney</w:t>
      </w:r>
      <w:r w:rsidR="00D80385">
        <w:rPr>
          <w:rFonts w:ascii="Aptos" w:hAnsi="Aptos" w:cs="Times New Roman"/>
        </w:rPr>
        <w:t>,</w:t>
      </w:r>
      <w:r w:rsidR="00D80385" w:rsidRPr="00D80385">
        <w:rPr>
          <w:rFonts w:ascii="Aptos" w:hAnsi="Aptos" w:cs="Times New Roman"/>
        </w:rPr>
        <w:t xml:space="preserve"> </w:t>
      </w:r>
      <w:r w:rsidRPr="00CC25A6">
        <w:rPr>
          <w:rFonts w:ascii="Aptos" w:hAnsi="Aptos" w:cs="Times New Roman"/>
        </w:rPr>
        <w:t>Rachel Young</w:t>
      </w:r>
    </w:p>
    <w:p w14:paraId="7D3C6861" w14:textId="77777777" w:rsidR="00CF1E8A" w:rsidRPr="00CC25A6" w:rsidRDefault="00CF1E8A" w:rsidP="00CC5462">
      <w:pPr>
        <w:contextualSpacing/>
        <w:rPr>
          <w:rFonts w:ascii="Aptos" w:hAnsi="Aptos" w:cs="Times New Roman"/>
        </w:rPr>
      </w:pPr>
    </w:p>
    <w:p w14:paraId="0DB04490" w14:textId="16C76E09" w:rsidR="00CF1E8A" w:rsidRPr="00CC25A6" w:rsidRDefault="00CF1E8A" w:rsidP="00CC5462">
      <w:pPr>
        <w:contextualSpacing/>
        <w:rPr>
          <w:rFonts w:ascii="Aptos" w:hAnsi="Aptos" w:cs="Times New Roman"/>
        </w:rPr>
      </w:pPr>
      <w:r w:rsidRPr="00CC25A6">
        <w:rPr>
          <w:rFonts w:ascii="Aptos" w:hAnsi="Aptos" w:cs="Times New Roman"/>
          <w:i/>
          <w:iCs/>
        </w:rPr>
        <w:t>Absent:</w:t>
      </w:r>
      <w:r w:rsidR="00D80385">
        <w:rPr>
          <w:rFonts w:ascii="Aptos" w:hAnsi="Aptos"/>
        </w:rPr>
        <w:t xml:space="preserve"> </w:t>
      </w:r>
      <w:r w:rsidR="00540D3E" w:rsidRPr="00CC25A6">
        <w:rPr>
          <w:rFonts w:ascii="Aptos" w:hAnsi="Aptos"/>
        </w:rPr>
        <w:t>Kirsten Kumpf Baele</w:t>
      </w:r>
      <w:r w:rsidR="00540D3E">
        <w:rPr>
          <w:rFonts w:ascii="Aptos" w:hAnsi="Aptos"/>
        </w:rPr>
        <w:t>,</w:t>
      </w:r>
      <w:r w:rsidR="00540D3E">
        <w:rPr>
          <w:rFonts w:ascii="Aptos" w:hAnsi="Aptos" w:cs="Times New Roman"/>
        </w:rPr>
        <w:t xml:space="preserve"> </w:t>
      </w:r>
      <w:r w:rsidR="00540D3E" w:rsidRPr="00CC25A6">
        <w:rPr>
          <w:rFonts w:ascii="Aptos" w:hAnsi="Aptos" w:cs="Times New Roman"/>
        </w:rPr>
        <w:t xml:space="preserve">Sanvesh Srivastava, </w:t>
      </w:r>
      <w:r w:rsidR="00540D3E">
        <w:rPr>
          <w:rFonts w:ascii="Aptos" w:hAnsi="Aptos" w:cs="Times New Roman"/>
        </w:rPr>
        <w:t>Paul Windschitl</w:t>
      </w:r>
    </w:p>
    <w:p w14:paraId="05633737" w14:textId="77777777" w:rsidR="00972459" w:rsidRPr="00CC25A6" w:rsidRDefault="00972459">
      <w:pPr>
        <w:rPr>
          <w:rFonts w:ascii="Aptos" w:hAnsi="Aptos" w:cs="Times New Roman"/>
        </w:rPr>
      </w:pPr>
    </w:p>
    <w:p w14:paraId="360B28CC" w14:textId="4DD9B26C" w:rsidR="00C02460" w:rsidRPr="00CC25A6" w:rsidRDefault="00C02460" w:rsidP="00C02460">
      <w:pPr>
        <w:pStyle w:val="ListParagraph"/>
        <w:numPr>
          <w:ilvl w:val="0"/>
          <w:numId w:val="2"/>
        </w:numPr>
        <w:rPr>
          <w:rFonts w:ascii="Aptos" w:hAnsi="Aptos" w:cs="Times New Roman"/>
        </w:rPr>
      </w:pPr>
      <w:r>
        <w:rPr>
          <w:rFonts w:ascii="Aptos" w:hAnsi="Aptos" w:cs="Times New Roman"/>
        </w:rPr>
        <w:t>First</w:t>
      </w:r>
      <w:r w:rsidR="0072587A">
        <w:rPr>
          <w:rFonts w:ascii="Aptos" w:hAnsi="Aptos" w:cs="Times New Roman"/>
        </w:rPr>
        <w:t>,</w:t>
      </w:r>
      <w:r w:rsidRPr="00CC25A6">
        <w:rPr>
          <w:rFonts w:ascii="Aptos" w:hAnsi="Aptos" w:cs="Times New Roman"/>
        </w:rPr>
        <w:t xml:space="preserve"> the committee reviewed and approved the minutes from </w:t>
      </w:r>
      <w:r>
        <w:rPr>
          <w:rFonts w:ascii="Aptos" w:hAnsi="Aptos" w:cs="Times New Roman"/>
        </w:rPr>
        <w:t>February 12 and February 1</w:t>
      </w:r>
      <w:r w:rsidR="0072587A">
        <w:rPr>
          <w:rFonts w:ascii="Aptos" w:hAnsi="Aptos" w:cs="Times New Roman"/>
        </w:rPr>
        <w:t>9</w:t>
      </w:r>
      <w:r w:rsidRPr="00CC25A6">
        <w:rPr>
          <w:rFonts w:ascii="Aptos" w:hAnsi="Aptos" w:cs="Times New Roman"/>
        </w:rPr>
        <w:t>.</w:t>
      </w:r>
      <w:r>
        <w:rPr>
          <w:rFonts w:ascii="Aptos" w:hAnsi="Aptos" w:cs="Times New Roman"/>
        </w:rPr>
        <w:t xml:space="preserve"> Liz also confirmed that all remaining fall 2025 minutes had been approved by email.</w:t>
      </w:r>
      <w:r w:rsidRPr="00CC25A6">
        <w:rPr>
          <w:rFonts w:ascii="Aptos" w:hAnsi="Aptos" w:cs="Times New Roman"/>
        </w:rPr>
        <w:t xml:space="preserve"> </w:t>
      </w:r>
      <w:r>
        <w:rPr>
          <w:rFonts w:ascii="Aptos" w:hAnsi="Aptos" w:cs="Times New Roman"/>
        </w:rPr>
        <w:t>A</w:t>
      </w:r>
      <w:r w:rsidRPr="00CC25A6">
        <w:rPr>
          <w:rFonts w:ascii="Aptos" w:hAnsi="Aptos" w:cs="Times New Roman"/>
        </w:rPr>
        <w:t xml:space="preserve">pproved minutes can be found </w:t>
      </w:r>
      <w:hyperlink r:id="rId5" w:history="1">
        <w:r w:rsidRPr="00CC25A6">
          <w:rPr>
            <w:rStyle w:val="Hyperlink"/>
            <w:rFonts w:ascii="Aptos" w:hAnsi="Aptos" w:cs="Times New Roman"/>
          </w:rPr>
          <w:t>here</w:t>
        </w:r>
      </w:hyperlink>
      <w:r w:rsidRPr="00CC25A6">
        <w:rPr>
          <w:rFonts w:ascii="Aptos" w:hAnsi="Aptos" w:cs="Times New Roman"/>
        </w:rPr>
        <w:t xml:space="preserve">. </w:t>
      </w:r>
    </w:p>
    <w:p w14:paraId="4C034F6F" w14:textId="77777777" w:rsidR="00C02460" w:rsidRDefault="00C02460" w:rsidP="00C02460">
      <w:pPr>
        <w:pStyle w:val="ListParagraph"/>
        <w:rPr>
          <w:rFonts w:ascii="Aptos" w:hAnsi="Aptos" w:cs="Times New Roman"/>
        </w:rPr>
      </w:pPr>
    </w:p>
    <w:p w14:paraId="2FAF2EBC" w14:textId="2CF2EA1C" w:rsidR="00051881" w:rsidRDefault="00051881" w:rsidP="00C02460">
      <w:pPr>
        <w:pStyle w:val="ListParagraph"/>
        <w:numPr>
          <w:ilvl w:val="0"/>
          <w:numId w:val="2"/>
        </w:numPr>
        <w:rPr>
          <w:rFonts w:ascii="Aptos" w:hAnsi="Aptos" w:cs="Times New Roman"/>
        </w:rPr>
      </w:pPr>
      <w:r>
        <w:rPr>
          <w:rFonts w:ascii="Aptos" w:hAnsi="Aptos" w:cs="Times New Roman"/>
        </w:rPr>
        <w:t>Next</w:t>
      </w:r>
      <w:r w:rsidR="00EA4673">
        <w:rPr>
          <w:rFonts w:ascii="Aptos" w:hAnsi="Aptos" w:cs="Times New Roman"/>
        </w:rPr>
        <w:t>,</w:t>
      </w:r>
      <w:r>
        <w:rPr>
          <w:rFonts w:ascii="Aptos" w:hAnsi="Aptos" w:cs="Times New Roman"/>
        </w:rPr>
        <w:t xml:space="preserve"> the committee followed up on the previous week’s discussion </w:t>
      </w:r>
      <w:r w:rsidR="00F027D5">
        <w:rPr>
          <w:rFonts w:ascii="Aptos" w:hAnsi="Aptos" w:cs="Times New Roman"/>
        </w:rPr>
        <w:t xml:space="preserve">about </w:t>
      </w:r>
      <w:r>
        <w:rPr>
          <w:rFonts w:ascii="Aptos" w:hAnsi="Aptos" w:cs="Times New Roman"/>
        </w:rPr>
        <w:t>policies related to finals week and the last week of classes before finals week. Anushka presented the results of a survey she conducted through Undergraduate Student Government on these topics: strong majorities of the students surveyed confirmed that they have been given tests of various kinds in the last week of classes, and that they agree that the workload in the last week of classes is too heavy.</w:t>
      </w:r>
      <w:r w:rsidR="0008541B">
        <w:rPr>
          <w:rFonts w:ascii="Aptos" w:hAnsi="Aptos" w:cs="Times New Roman"/>
        </w:rPr>
        <w:t xml:space="preserve"> Associate Dean </w:t>
      </w:r>
      <w:r w:rsidR="003034DB">
        <w:rPr>
          <w:rFonts w:ascii="Aptos" w:hAnsi="Aptos" w:cs="Times New Roman"/>
        </w:rPr>
        <w:t xml:space="preserve">Cornelia </w:t>
      </w:r>
      <w:r w:rsidR="0008541B">
        <w:rPr>
          <w:rFonts w:ascii="Aptos" w:hAnsi="Aptos" w:cs="Times New Roman"/>
        </w:rPr>
        <w:t>Lang also presented some data she requested from the Office of the Registrar regarding final exam scheduling. The committee discussed several remaining questions and issues for follow up:</w:t>
      </w:r>
    </w:p>
    <w:p w14:paraId="4247B6B0" w14:textId="77777777" w:rsidR="0008541B" w:rsidRPr="0008541B" w:rsidRDefault="0008541B" w:rsidP="0008541B">
      <w:pPr>
        <w:pStyle w:val="ListParagraph"/>
        <w:rPr>
          <w:rFonts w:ascii="Aptos" w:hAnsi="Aptos" w:cs="Times New Roman"/>
        </w:rPr>
      </w:pPr>
    </w:p>
    <w:p w14:paraId="47F2A243" w14:textId="12445244" w:rsidR="0008541B" w:rsidRDefault="0008541B" w:rsidP="0008541B">
      <w:pPr>
        <w:pStyle w:val="ListParagraph"/>
        <w:numPr>
          <w:ilvl w:val="1"/>
          <w:numId w:val="2"/>
        </w:numPr>
        <w:rPr>
          <w:rFonts w:ascii="Aptos" w:hAnsi="Aptos" w:cs="Times New Roman"/>
        </w:rPr>
      </w:pPr>
      <w:r>
        <w:rPr>
          <w:rFonts w:ascii="Aptos" w:hAnsi="Aptos" w:cs="Times New Roman"/>
        </w:rPr>
        <w:t xml:space="preserve">The policy describing </w:t>
      </w:r>
      <w:r w:rsidR="00EA4673">
        <w:rPr>
          <w:rFonts w:ascii="Aptos" w:hAnsi="Aptos" w:cs="Times New Roman"/>
        </w:rPr>
        <w:t xml:space="preserve">allowable work in </w:t>
      </w:r>
      <w:r>
        <w:rPr>
          <w:rFonts w:ascii="Aptos" w:hAnsi="Aptos" w:cs="Times New Roman"/>
        </w:rPr>
        <w:t xml:space="preserve">the week before finals </w:t>
      </w:r>
      <w:r w:rsidR="00EA4673">
        <w:rPr>
          <w:rFonts w:ascii="Aptos" w:hAnsi="Aptos" w:cs="Times New Roman"/>
        </w:rPr>
        <w:t>seems</w:t>
      </w:r>
      <w:r>
        <w:rPr>
          <w:rFonts w:ascii="Aptos" w:hAnsi="Aptos" w:cs="Times New Roman"/>
        </w:rPr>
        <w:t xml:space="preserve"> incomplete and vague</w:t>
      </w:r>
      <w:r w:rsidR="00EA4673">
        <w:rPr>
          <w:rFonts w:ascii="Aptos" w:hAnsi="Aptos" w:cs="Times New Roman"/>
        </w:rPr>
        <w:t>, particularly</w:t>
      </w:r>
      <w:r>
        <w:rPr>
          <w:rFonts w:ascii="Aptos" w:hAnsi="Aptos" w:cs="Times New Roman"/>
        </w:rPr>
        <w:t xml:space="preserve"> around </w:t>
      </w:r>
      <w:r w:rsidR="00EA4673">
        <w:rPr>
          <w:rFonts w:ascii="Aptos" w:hAnsi="Aptos" w:cs="Times New Roman"/>
        </w:rPr>
        <w:t xml:space="preserve">different </w:t>
      </w:r>
      <w:r>
        <w:rPr>
          <w:rFonts w:ascii="Aptos" w:hAnsi="Aptos" w:cs="Times New Roman"/>
        </w:rPr>
        <w:t>categories of student work. It does not seem sufficient to address courses that assign papers, group work, presentations,</w:t>
      </w:r>
      <w:r w:rsidR="00EA4673">
        <w:rPr>
          <w:rFonts w:ascii="Aptos" w:hAnsi="Aptos" w:cs="Times New Roman"/>
        </w:rPr>
        <w:t xml:space="preserve"> or community partnerships, for example.</w:t>
      </w:r>
    </w:p>
    <w:p w14:paraId="6AF94AE0" w14:textId="3C4FA711" w:rsidR="0008541B" w:rsidRDefault="0008541B" w:rsidP="0008541B">
      <w:pPr>
        <w:pStyle w:val="ListParagraph"/>
        <w:numPr>
          <w:ilvl w:val="1"/>
          <w:numId w:val="2"/>
        </w:numPr>
        <w:rPr>
          <w:rFonts w:ascii="Aptos" w:hAnsi="Aptos" w:cs="Times New Roman"/>
        </w:rPr>
      </w:pPr>
      <w:r>
        <w:rPr>
          <w:rFonts w:ascii="Aptos" w:hAnsi="Aptos" w:cs="Times New Roman"/>
        </w:rPr>
        <w:t>The policy as written is not being followed as widely as might be expected</w:t>
      </w:r>
      <w:r w:rsidR="00A86070">
        <w:rPr>
          <w:rFonts w:ascii="Aptos" w:hAnsi="Aptos" w:cs="Times New Roman"/>
        </w:rPr>
        <w:t>. It</w:t>
      </w:r>
      <w:r>
        <w:rPr>
          <w:rFonts w:ascii="Aptos" w:hAnsi="Aptos" w:cs="Times New Roman"/>
        </w:rPr>
        <w:t xml:space="preserve"> might not even be known to many instructors.</w:t>
      </w:r>
    </w:p>
    <w:p w14:paraId="4B834A7D" w14:textId="075CE565" w:rsidR="0008541B" w:rsidRDefault="0008541B" w:rsidP="0008541B">
      <w:pPr>
        <w:pStyle w:val="ListParagraph"/>
        <w:numPr>
          <w:ilvl w:val="1"/>
          <w:numId w:val="2"/>
        </w:numPr>
        <w:rPr>
          <w:rFonts w:ascii="Aptos" w:hAnsi="Aptos" w:cs="Times New Roman"/>
        </w:rPr>
      </w:pPr>
      <w:r>
        <w:rPr>
          <w:rFonts w:ascii="Aptos" w:hAnsi="Aptos" w:cs="Times New Roman"/>
        </w:rPr>
        <w:t>It would be useful to revisit and clarify rules about final exam scheduling as well</w:t>
      </w:r>
      <w:r w:rsidR="00A86070">
        <w:rPr>
          <w:rFonts w:ascii="Aptos" w:hAnsi="Aptos" w:cs="Times New Roman"/>
        </w:rPr>
        <w:t>, to clarify that instructors may not informally reschedule final exams or change their modality.</w:t>
      </w:r>
    </w:p>
    <w:p w14:paraId="35BFBD5F" w14:textId="77777777" w:rsidR="0008541B" w:rsidRDefault="0008541B" w:rsidP="0008541B">
      <w:pPr>
        <w:rPr>
          <w:rFonts w:ascii="Aptos" w:hAnsi="Aptos" w:cs="Times New Roman"/>
        </w:rPr>
      </w:pPr>
    </w:p>
    <w:p w14:paraId="23495087" w14:textId="4C830665" w:rsidR="0008541B" w:rsidRPr="0008541B" w:rsidRDefault="0008541B" w:rsidP="0008541B">
      <w:pPr>
        <w:ind w:left="720"/>
        <w:rPr>
          <w:rFonts w:ascii="Aptos" w:hAnsi="Aptos" w:cs="Times New Roman"/>
        </w:rPr>
      </w:pPr>
      <w:r>
        <w:rPr>
          <w:rFonts w:ascii="Aptos" w:hAnsi="Aptos" w:cs="Times New Roman"/>
        </w:rPr>
        <w:t>Cornelia and Liz will follow up on this topic by drafting some updates to the policy language and possible changes to the policies themselves, and bringing them to the committee for further review.</w:t>
      </w:r>
    </w:p>
    <w:p w14:paraId="6EA0B1CB" w14:textId="77777777" w:rsidR="00051881" w:rsidRPr="00051881" w:rsidRDefault="00051881" w:rsidP="00051881">
      <w:pPr>
        <w:pStyle w:val="ListParagraph"/>
        <w:rPr>
          <w:rFonts w:ascii="Aptos" w:hAnsi="Aptos" w:cs="Times New Roman"/>
        </w:rPr>
      </w:pPr>
    </w:p>
    <w:p w14:paraId="1AC82B8F" w14:textId="7DD9E1FF" w:rsidR="002F2D09" w:rsidRPr="00235124" w:rsidRDefault="003034DB" w:rsidP="00235124">
      <w:pPr>
        <w:pStyle w:val="ListParagraph"/>
        <w:numPr>
          <w:ilvl w:val="0"/>
          <w:numId w:val="2"/>
        </w:numPr>
        <w:rPr>
          <w:rFonts w:ascii="Aptos" w:hAnsi="Aptos" w:cs="Times New Roman"/>
        </w:rPr>
      </w:pPr>
      <w:r>
        <w:rPr>
          <w:rFonts w:ascii="Aptos" w:hAnsi="Aptos" w:cs="Times New Roman"/>
        </w:rPr>
        <w:t>Finally,</w:t>
      </w:r>
      <w:r w:rsidR="00D33988">
        <w:rPr>
          <w:rFonts w:ascii="Aptos" w:hAnsi="Aptos" w:cs="Times New Roman"/>
        </w:rPr>
        <w:t xml:space="preserve"> the committee welcomed </w:t>
      </w:r>
      <w:r>
        <w:rPr>
          <w:rFonts w:ascii="Aptos" w:hAnsi="Aptos" w:cs="Times New Roman"/>
        </w:rPr>
        <w:t>Matt Shadle, Academic Assessment Coordinator,</w:t>
      </w:r>
      <w:r w:rsidR="00D33988">
        <w:rPr>
          <w:rFonts w:ascii="Aptos" w:hAnsi="Aptos" w:cs="Times New Roman"/>
        </w:rPr>
        <w:t xml:space="preserve"> to discuss</w:t>
      </w:r>
      <w:r>
        <w:rPr>
          <w:rFonts w:ascii="Aptos" w:hAnsi="Aptos" w:cs="Times New Roman"/>
        </w:rPr>
        <w:t xml:space="preserve"> undergraduate certificates in CLAS</w:t>
      </w:r>
      <w:r w:rsidR="00D33988">
        <w:rPr>
          <w:rFonts w:ascii="Aptos" w:hAnsi="Aptos" w:cs="Times New Roman"/>
        </w:rPr>
        <w:t>.</w:t>
      </w:r>
      <w:r w:rsidR="00A86070">
        <w:rPr>
          <w:rFonts w:ascii="Aptos" w:hAnsi="Aptos" w:cs="Times New Roman"/>
        </w:rPr>
        <w:t xml:space="preserve"> CLAS UP has been working with certificate coordinators over the last few semesters to provide more administrative support and standardization. Matt explained that certificates typically fall into two broad categories: some are competency-based, describing a skillset that students might want to develop to supplement their major, such as Event Management or </w:t>
      </w:r>
      <w:r w:rsidR="007E2D4E">
        <w:rPr>
          <w:rFonts w:ascii="Aptos" w:hAnsi="Aptos" w:cs="Times New Roman"/>
        </w:rPr>
        <w:t>Interscholastic Athletic/Activities Administration</w:t>
      </w:r>
      <w:r w:rsidR="00A86070">
        <w:rPr>
          <w:rFonts w:ascii="Aptos" w:hAnsi="Aptos" w:cs="Times New Roman"/>
        </w:rPr>
        <w:t xml:space="preserve">. Others describe interdisciplinary areas of study that are not easily organized within the same departmental categories as majors, such as Jewish Studies or Medieval Studies. Matt surveyed certificate coordinators about the strengths and </w:t>
      </w:r>
      <w:r w:rsidR="00A86070">
        <w:rPr>
          <w:rFonts w:ascii="Aptos" w:hAnsi="Aptos" w:cs="Times New Roman"/>
        </w:rPr>
        <w:lastRenderedPageBreak/>
        <w:t xml:space="preserve">challenges of administering their programs, and </w:t>
      </w:r>
      <w:r w:rsidR="001A15FC">
        <w:rPr>
          <w:rFonts w:ascii="Aptos" w:hAnsi="Aptos" w:cs="Times New Roman"/>
        </w:rPr>
        <w:t xml:space="preserve">while there are some common themes in their responses, some other topics raised </w:t>
      </w:r>
      <w:r w:rsidR="00A86070" w:rsidRPr="001A15FC">
        <w:rPr>
          <w:rFonts w:ascii="Aptos" w:hAnsi="Aptos" w:cs="Times New Roman"/>
        </w:rPr>
        <w:t>vary depending on the type of certificate, as well as the size.</w:t>
      </w:r>
      <w:r w:rsidR="001A15FC">
        <w:rPr>
          <w:rFonts w:ascii="Aptos" w:hAnsi="Aptos" w:cs="Times New Roman"/>
        </w:rPr>
        <w:t xml:space="preserve"> </w:t>
      </w:r>
      <w:r w:rsidR="001A15FC" w:rsidRPr="001A15FC">
        <w:rPr>
          <w:rFonts w:ascii="Aptos" w:hAnsi="Aptos" w:cs="Times New Roman"/>
        </w:rPr>
        <w:t>The discussion of certificates will continue in the next UEPCC meeting.</w:t>
      </w:r>
    </w:p>
    <w:p w14:paraId="6CCD5632" w14:textId="77777777" w:rsidR="002F2D09" w:rsidRPr="00CC25A6" w:rsidRDefault="002F2D09">
      <w:pPr>
        <w:rPr>
          <w:rFonts w:ascii="Aptos" w:hAnsi="Aptos"/>
        </w:rPr>
      </w:pPr>
    </w:p>
    <w:p w14:paraId="13E93C23" w14:textId="3C1A0437" w:rsidR="00E470B3" w:rsidRPr="00CC25A6" w:rsidRDefault="00E470B3" w:rsidP="00E470B3">
      <w:pPr>
        <w:rPr>
          <w:rFonts w:ascii="Aptos" w:hAnsi="Aptos"/>
        </w:rPr>
      </w:pPr>
      <w:r w:rsidRPr="00CC25A6">
        <w:rPr>
          <w:rFonts w:ascii="Aptos" w:hAnsi="Aptos"/>
        </w:rPr>
        <w:t>Respectfully submitted,</w:t>
      </w:r>
    </w:p>
    <w:p w14:paraId="72874124" w14:textId="77777777" w:rsidR="003D26C6" w:rsidRPr="00CC25A6" w:rsidRDefault="003D26C6" w:rsidP="00E470B3">
      <w:pPr>
        <w:rPr>
          <w:rFonts w:ascii="Aptos" w:hAnsi="Aptos"/>
        </w:rPr>
      </w:pPr>
    </w:p>
    <w:p w14:paraId="323B322F" w14:textId="40EFC335" w:rsidR="00E470B3" w:rsidRDefault="00325604" w:rsidP="00545E73">
      <w:pPr>
        <w:rPr>
          <w:rFonts w:ascii="Aptos" w:hAnsi="Aptos" w:cs="Times New Roman"/>
        </w:rPr>
      </w:pPr>
      <w:r>
        <w:rPr>
          <w:rFonts w:ascii="Aptos" w:hAnsi="Aptos" w:cs="Times New Roman"/>
        </w:rPr>
        <w:t>Kate Tierney</w:t>
      </w:r>
    </w:p>
    <w:p w14:paraId="03B5275E" w14:textId="039452DB" w:rsidR="00325604" w:rsidRDefault="00325604" w:rsidP="00545E73">
      <w:pPr>
        <w:rPr>
          <w:rFonts w:ascii="Aptos" w:hAnsi="Aptos" w:cs="Times New Roman"/>
        </w:rPr>
      </w:pPr>
      <w:r>
        <w:rPr>
          <w:rFonts w:ascii="Aptos" w:hAnsi="Aptos" w:cs="Times New Roman"/>
        </w:rPr>
        <w:t>UEPCC Secretary</w:t>
      </w:r>
    </w:p>
    <w:p w14:paraId="3831B684" w14:textId="77777777" w:rsidR="00325604" w:rsidRPr="00CC25A6" w:rsidRDefault="00325604" w:rsidP="00545E73">
      <w:pPr>
        <w:rPr>
          <w:rFonts w:ascii="Aptos" w:hAnsi="Aptos"/>
        </w:rPr>
      </w:pPr>
    </w:p>
    <w:sectPr w:rsidR="00325604" w:rsidRPr="00CC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CCA"/>
    <w:multiLevelType w:val="hybridMultilevel"/>
    <w:tmpl w:val="8D905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723FA"/>
    <w:multiLevelType w:val="hybridMultilevel"/>
    <w:tmpl w:val="4B28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42869"/>
    <w:multiLevelType w:val="hybridMultilevel"/>
    <w:tmpl w:val="F12A9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5377573">
    <w:abstractNumId w:val="1"/>
  </w:num>
  <w:num w:numId="2" w16cid:durableId="1343707476">
    <w:abstractNumId w:val="0"/>
  </w:num>
  <w:num w:numId="3" w16cid:durableId="20482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62"/>
    <w:rsid w:val="00051881"/>
    <w:rsid w:val="000601E7"/>
    <w:rsid w:val="0008541B"/>
    <w:rsid w:val="000D58DF"/>
    <w:rsid w:val="001338A1"/>
    <w:rsid w:val="001A15FC"/>
    <w:rsid w:val="00235124"/>
    <w:rsid w:val="002F2D09"/>
    <w:rsid w:val="003034DB"/>
    <w:rsid w:val="00325604"/>
    <w:rsid w:val="003D26C6"/>
    <w:rsid w:val="003E7F49"/>
    <w:rsid w:val="004525B9"/>
    <w:rsid w:val="00481FF6"/>
    <w:rsid w:val="004D31C5"/>
    <w:rsid w:val="00540D3E"/>
    <w:rsid w:val="00545E73"/>
    <w:rsid w:val="00571EC7"/>
    <w:rsid w:val="005B0550"/>
    <w:rsid w:val="00705987"/>
    <w:rsid w:val="0072587A"/>
    <w:rsid w:val="007264B5"/>
    <w:rsid w:val="00751DE8"/>
    <w:rsid w:val="00784FBA"/>
    <w:rsid w:val="007E2D4E"/>
    <w:rsid w:val="00850959"/>
    <w:rsid w:val="008564C3"/>
    <w:rsid w:val="00875358"/>
    <w:rsid w:val="008C31F5"/>
    <w:rsid w:val="008D14FE"/>
    <w:rsid w:val="008D54E6"/>
    <w:rsid w:val="00921DD0"/>
    <w:rsid w:val="00972459"/>
    <w:rsid w:val="0097626A"/>
    <w:rsid w:val="009F3E32"/>
    <w:rsid w:val="00A04888"/>
    <w:rsid w:val="00A86070"/>
    <w:rsid w:val="00A922A4"/>
    <w:rsid w:val="00AC031E"/>
    <w:rsid w:val="00AC1282"/>
    <w:rsid w:val="00BD0E2D"/>
    <w:rsid w:val="00BD7B53"/>
    <w:rsid w:val="00C00C90"/>
    <w:rsid w:val="00C02460"/>
    <w:rsid w:val="00CC22E4"/>
    <w:rsid w:val="00CC25A6"/>
    <w:rsid w:val="00CC5462"/>
    <w:rsid w:val="00CF1E8A"/>
    <w:rsid w:val="00D33988"/>
    <w:rsid w:val="00D80385"/>
    <w:rsid w:val="00E3144D"/>
    <w:rsid w:val="00E470B3"/>
    <w:rsid w:val="00EA4673"/>
    <w:rsid w:val="00EF2203"/>
    <w:rsid w:val="00F027D5"/>
    <w:rsid w:val="00F47A0D"/>
    <w:rsid w:val="00F6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3FA5"/>
  <w15:chartTrackingRefBased/>
  <w15:docId w15:val="{6BE3A7E3-1EA3-4799-8DA1-188F452B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62"/>
  </w:style>
  <w:style w:type="paragraph" w:styleId="Heading1">
    <w:name w:val="heading 1"/>
    <w:basedOn w:val="Normal"/>
    <w:next w:val="Normal"/>
    <w:link w:val="Heading1Char"/>
    <w:uiPriority w:val="9"/>
    <w:qFormat/>
    <w:rsid w:val="00CC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4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62"/>
    <w:rPr>
      <w:rFonts w:eastAsiaTheme="majorEastAsia" w:cstheme="majorBidi"/>
      <w:color w:val="272727" w:themeColor="text1" w:themeTint="D8"/>
    </w:rPr>
  </w:style>
  <w:style w:type="paragraph" w:styleId="Title">
    <w:name w:val="Title"/>
    <w:basedOn w:val="Normal"/>
    <w:next w:val="Normal"/>
    <w:link w:val="TitleChar"/>
    <w:uiPriority w:val="10"/>
    <w:qFormat/>
    <w:rsid w:val="00CC54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462"/>
    <w:rPr>
      <w:i/>
      <w:iCs/>
      <w:color w:val="404040" w:themeColor="text1" w:themeTint="BF"/>
    </w:rPr>
  </w:style>
  <w:style w:type="paragraph" w:styleId="ListParagraph">
    <w:name w:val="List Paragraph"/>
    <w:basedOn w:val="Normal"/>
    <w:uiPriority w:val="34"/>
    <w:qFormat/>
    <w:rsid w:val="00CC5462"/>
    <w:pPr>
      <w:ind w:left="720"/>
      <w:contextualSpacing/>
    </w:pPr>
  </w:style>
  <w:style w:type="character" w:styleId="IntenseEmphasis">
    <w:name w:val="Intense Emphasis"/>
    <w:basedOn w:val="DefaultParagraphFont"/>
    <w:uiPriority w:val="21"/>
    <w:qFormat/>
    <w:rsid w:val="00CC5462"/>
    <w:rPr>
      <w:i/>
      <w:iCs/>
      <w:color w:val="0F4761" w:themeColor="accent1" w:themeShade="BF"/>
    </w:rPr>
  </w:style>
  <w:style w:type="paragraph" w:styleId="IntenseQuote">
    <w:name w:val="Intense Quote"/>
    <w:basedOn w:val="Normal"/>
    <w:next w:val="Normal"/>
    <w:link w:val="IntenseQuoteChar"/>
    <w:uiPriority w:val="30"/>
    <w:qFormat/>
    <w:rsid w:val="00CC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462"/>
    <w:rPr>
      <w:i/>
      <w:iCs/>
      <w:color w:val="0F4761" w:themeColor="accent1" w:themeShade="BF"/>
    </w:rPr>
  </w:style>
  <w:style w:type="character" w:styleId="IntenseReference">
    <w:name w:val="Intense Reference"/>
    <w:basedOn w:val="DefaultParagraphFont"/>
    <w:uiPriority w:val="32"/>
    <w:qFormat/>
    <w:rsid w:val="00CC5462"/>
    <w:rPr>
      <w:b/>
      <w:bCs/>
      <w:smallCaps/>
      <w:color w:val="0F4761" w:themeColor="accent1" w:themeShade="BF"/>
      <w:spacing w:val="5"/>
    </w:rPr>
  </w:style>
  <w:style w:type="character" w:styleId="Hyperlink">
    <w:name w:val="Hyperlink"/>
    <w:basedOn w:val="DefaultParagraphFont"/>
    <w:uiPriority w:val="99"/>
    <w:unhideWhenUsed/>
    <w:rsid w:val="001338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ource.clas.uiowa.edu/shared-governance/faculty-governance/undergraduate-educational-policy-curricul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14</cp:revision>
  <dcterms:created xsi:type="dcterms:W3CDTF">2026-03-12T16:20:00Z</dcterms:created>
  <dcterms:modified xsi:type="dcterms:W3CDTF">2026-03-29T20:12:00Z</dcterms:modified>
</cp:coreProperties>
</file>